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SHETLANDI PONI JÕUDLUSKONTROLLI LÄBIVIIMISE KORD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Jõudluskontroll viiakse läbi vastavalt Põllumajandusloomade aretuse seadusele, Loomakaitse seadusele ja Eesti Hobusekasvatajate Seltsi shetlandi poni aretusprogrammile.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Shetlandi poni jõudluskontrolli läbiviimisel on aluseks järgmised korrad: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Aretuslooma põlvnemis- ja jõudlusandmete kogumise, nende õigsuse kontrollimise, töötlemise ja säilitamise kord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Aretuslooma jõudlusandmete ja nende hindamistulemuste avaldamise kord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Jõudlusandmete kogumise koolitusprogrammid ning jõudlusandmete koguja tunnistuse saamise nõuded ja tunnistuse väljastamise kord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Andmed laboratooriumi kohta, kus tehakse jõudluse määramiseks vajalikke analüüse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Üldosa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Ponide jõudluskontroll on meetod poni võimete väljaselgitamiseks ja tõu- ning aretusväärtuse määramiseks. Jõudluskontrolliga kontrollitakse ning antakse hinnang poni jõudlusvõimele, liikumisele, temperamendile.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Jõudluskontroll on jõudluse hindamine järgnevalt: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Varsa areng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alates 3. elunädalast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 üldmulje 1. eluaastal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Noorhobuste jõudluskatsete tulemused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hinnatakse Eesti Hobusekasvatajate seltsi piirkondlikel ülevaatustel samadel alustel, kui teistesse tõugudesse kuuluvaid noorhobuseid.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Hinnatakse 10 punkti süsteemis järgmiste tunnuste alusel:</w:t>
      </w:r>
    </w:p>
    <w:p>
      <w:pPr>
        <w:widowControl w:val="false"/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Tüüp</w:t>
      </w:r>
    </w:p>
    <w:p>
      <w:pPr>
        <w:widowControl w:val="false"/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Keha</w:t>
      </w:r>
    </w:p>
    <w:p>
      <w:pPr>
        <w:widowControl w:val="false"/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Jalad</w:t>
      </w:r>
    </w:p>
    <w:p>
      <w:pPr>
        <w:widowControl w:val="false"/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Samm</w:t>
      </w:r>
    </w:p>
    <w:p>
      <w:pPr>
        <w:widowControl w:val="false"/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Traav</w:t>
      </w:r>
    </w:p>
    <w:p>
      <w:pPr>
        <w:widowControl w:val="false"/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Üldmulje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Ratsaspordi võistlustulemused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Näituste tulemused 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Näitusel hinnatakse 4 - 10 punkti skaalal, järgmiste tunnuste alusel: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Tüüp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Pea ja kael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Ülajoon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Esiosa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Tagaosa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Esijalad ja liikumisel korrapärasus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Tagajalad ja liikumisel korrapärasus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Samm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Traav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Galopp (täkud ja märad)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Üldmulje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Hindamine tõuraamatusse kandmisel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Tõuraamatusse kantakse järgmised mõõdud: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Turjakõrgus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Rinnaümbermõõt</w:t>
      </w:r>
    </w:p>
    <w:p>
      <w:pPr>
        <w:widowControl w:val="false"/>
        <w:numPr>
          <w:ilvl w:val="0"/>
          <w:numId w:val="18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Kämbla ümbermõõt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Hinnatakse järgmiste tunnuste osas:</w:t>
      </w:r>
    </w:p>
    <w:p>
      <w:pPr>
        <w:widowControl w:val="false"/>
        <w:numPr>
          <w:ilvl w:val="0"/>
          <w:numId w:val="20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Tüüp</w:t>
      </w:r>
    </w:p>
    <w:p>
      <w:pPr>
        <w:widowControl w:val="false"/>
        <w:numPr>
          <w:ilvl w:val="0"/>
          <w:numId w:val="20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Keha</w:t>
      </w:r>
    </w:p>
    <w:p>
      <w:pPr>
        <w:widowControl w:val="false"/>
        <w:numPr>
          <w:ilvl w:val="0"/>
          <w:numId w:val="20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Jalad</w:t>
      </w:r>
    </w:p>
    <w:p>
      <w:pPr>
        <w:widowControl w:val="false"/>
        <w:numPr>
          <w:ilvl w:val="0"/>
          <w:numId w:val="20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Samm</w:t>
      </w:r>
    </w:p>
    <w:p>
      <w:pPr>
        <w:widowControl w:val="false"/>
        <w:numPr>
          <w:ilvl w:val="0"/>
          <w:numId w:val="20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Traav</w:t>
      </w:r>
    </w:p>
    <w:p>
      <w:pPr>
        <w:widowControl w:val="false"/>
        <w:numPr>
          <w:ilvl w:val="0"/>
          <w:numId w:val="20"/>
        </w:numPr>
        <w:suppressAutoHyphens w:val="true"/>
        <w:spacing w:before="0" w:after="0" w:line="240"/>
        <w:ind w:right="0" w:left="144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Üldmulje</w:t>
      </w:r>
    </w:p>
    <w:p>
      <w:pPr>
        <w:widowControl w:val="false"/>
        <w:suppressAutoHyphens w:val="true"/>
        <w:spacing w:before="0" w:after="0" w:line="240"/>
        <w:ind w:right="0" w:left="144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14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Hindamine järglaste ja külgsugulaste järgi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SHETLANDI PONIDE JÕUDLUSKATSETE JUHENDID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HOBUSTE ÜLEVAATUSED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Jõudluskatsed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Ponide esitamine ja  hindamine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muru- või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liivaväljakul ning vabaliikumises.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Eesmärk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Ponide hindamine ja valik, ponide ja eellaste aretusväärtuse määramine.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Osavõtjad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Shetlandi ponid alates teisest eluaastast.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Hindamine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Hinnatakse 10 punkti süsteemis järgmiste tunnuste alusel:</w:t>
      </w:r>
    </w:p>
    <w:p>
      <w:pPr>
        <w:widowControl w:val="fals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Tüüp</w:t>
      </w:r>
    </w:p>
    <w:p>
      <w:pPr>
        <w:widowControl w:val="fals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Keha</w:t>
      </w:r>
    </w:p>
    <w:p>
      <w:pPr>
        <w:widowControl w:val="fals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Jalad</w:t>
      </w:r>
    </w:p>
    <w:p>
      <w:pPr>
        <w:widowControl w:val="fals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Samm</w:t>
      </w:r>
    </w:p>
    <w:p>
      <w:pPr>
        <w:widowControl w:val="fals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Traav</w:t>
      </w:r>
    </w:p>
    <w:p>
      <w:pPr>
        <w:widowControl w:val="fals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Üldmulje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Hindamiskomisjon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Eesti Hobusekasvatajate Seltsi poolt määratud hindamiskomisjon. Komisjoni koosseis otsustatakse enne ülevaatuse toimumist. Võimalusel kaasatakse väliseksperte.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Veterinaaria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Osa võivad võtta terved ponid, keda tuuakse tallidest, kus pole esinenud viimase 30 päeva jooksul nakkushaigustesse haigestumisi.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Osavõtutingimused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Eelregistreerimine EHS-i aadressil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ehs@ehs.ee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Kaasa võtta poni pass.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Esitamistingimused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Noorponi esitajal nõutud korrektne riietus (näiteks valge pluus ja tumedad püksid).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Auhindamine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Osalenud ponidele rosetid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SHETLANDI PONI NÄITUS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Jõudluskatsed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Poni esitamine ja  hindamine väljakul.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Eesmärk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Ponide hindamine ja valik aretusse ja tõu propageerimine.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Osavõtjad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Kõik shetlandi ponid alates 3. elunädalast.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Hindamine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Hinnatakse 4-10 punkti skaalal, järgmiste tunnuste alusel: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Tüüp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Pea ja kael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Ülajoon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Esiosa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Tagaosa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Esijalad ja liikumisel korrapärasus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Tagajalad ja liikumisel korrapärasus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Samm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Traav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Galopp (täkud ja märad)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643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Üldmulje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Taseme määramine: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Märad, ruunad ja noored ponid: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I preemia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tüüp ja üldmulje vähemalt 8, millest üks peab olema vähemalt 8,5, muud hinnatavad osad peavad olema vähemalt 6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II preemia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tüüp ja üldmulje vähemalt 7, millest üks peab olema vähemalt 7,5, muud hinnatavad osad peavad olema vähemalt 5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III preemia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tüüp ja üldmulje vähemalt 6, millest üks peab olema vähemalt 6,5, muud hinnatavad osad peavad olema vähemalt 5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Täkud: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I preemia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tüüp ja üldmulje vähemalt 8, millest üks peab olema vähemalt 8,5, muud hinnatavad osad peavad olema vähemalt 6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II preemia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tüüp vähemalt 8, üldmulje vähemalt 7, muud hinnatavad osad peavad olema vähemalt 5. Täku keskmised punktid peavad olema vähemalt 7,4.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Varssad: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Hinnatakse järgmiste punktide alusel: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3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Tüüp</w:t>
      </w:r>
    </w:p>
    <w:p>
      <w:pPr>
        <w:widowControl w:val="false"/>
        <w:numPr>
          <w:ilvl w:val="0"/>
          <w:numId w:val="33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Liikumine </w:t>
      </w:r>
    </w:p>
    <w:p>
      <w:pPr>
        <w:widowControl w:val="false"/>
        <w:numPr>
          <w:ilvl w:val="0"/>
          <w:numId w:val="33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Üldmulje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Auhinnatakse I, II ja III preemiaga.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Näitusele tulevad varsad peavad olema vähemalt 3 nädalased.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Mõõtmine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Turjakõrgus</w:t>
      </w:r>
    </w:p>
    <w:p>
      <w:pPr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Laudjakõrgus (soovituslik täkkudel ja märadel)</w:t>
      </w:r>
    </w:p>
    <w:p>
      <w:pPr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Rinnaümbermõõt</w:t>
      </w:r>
    </w:p>
    <w:p>
      <w:pPr>
        <w:widowControl w:val="false"/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Kämblaümbermõõt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4.a ja vanematel shetlandi ponide turjakõrgus on kuni 107 cm. Kolme aastaselt ei tohi ületada turjakõrgus 105 cm.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Hindamiskomisjon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Eesti Hobusekasvatajate Seltsi poolt määratud hindamiskomisjon. Komisjoni koosseis otsustatakse enne ülevaatuse toimumist. Eesmärgiks kasutada võimalusel kutsutakse rahvusvaheline shetlandi poni kohtunik.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Veterinaaria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Osa võivad võtta terved ponid, keda tuuakse tallidest, kus pole esinenud viimase 30 päeva jooksul nakkushaigustesse haigestumisi.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Loomaarst kontrollib ja mõõdab ponid enne näitust.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Osavõtutingimused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Eelregistreerimine EHS-i aadressil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ehs@ehs.ee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Kaasa võtta poni pass.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Esitamistingimused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Shetlandi poni esitajal nõutud korrektne riietus (näiteks valge pluus ja tumedad püksid).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Auhindamine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Auhind iga vanuseklassi parimale.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Vanuseklasside võitjate hulgast valitakse Best in Show, vanemate ponide arvestuses valitakse Chempion ja revervvõitja kes saab kaelalindi ja auhinnad.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Osalenud hobustele rosetid ja omanikele diplomid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ARETUSLOOMA PÕLVNEMIS- JA JÕUDLUSANDMETE KOGUMISE, NENDE ÕIGSUSE KONTROLLIMISE, TÖÖTLEMISE JA SÄILITAMISE KORD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Seadusandlik alus on jõudluskontrolli läbiviimise korra üldosas.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Hobuse jõudlusandmed on jõudluskontrollis saavutatud või hinnatud tulemused</w:t>
      </w:r>
    </w:p>
    <w:p>
      <w:pPr>
        <w:widowControl w:val="false"/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Jõudluse andmeid kogutakse ülevaatustel, võistlustel, näitustel</w:t>
      </w:r>
    </w:p>
    <w:p>
      <w:pPr>
        <w:widowControl w:val="false"/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Jõudlusandmed koostatakse protokollidena või hindamislehtedena</w:t>
      </w:r>
    </w:p>
    <w:p>
      <w:pPr>
        <w:widowControl w:val="false"/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Jõudlusandmed registreeritakse elektroonilises tõuraamatus 14 päeva jooksul peale sündmuse toimumist</w:t>
      </w:r>
    </w:p>
    <w:p>
      <w:pPr>
        <w:widowControl w:val="false"/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Protokollid säilitatakse EHS büroos tähtajatult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Aretuslooma põlvnemis- ja jõudlusandmete õigsust kontrollib tõu- ja hindamiskomisjon koostöös tegevteenistusega.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Kontrollimise aluseks on järgmised dokumendid:</w:t>
      </w:r>
    </w:p>
    <w:p>
      <w:pPr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Hobuse pass</w:t>
      </w:r>
    </w:p>
    <w:p>
      <w:pPr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Geneetilise ekspertiisi akt </w:t>
      </w:r>
    </w:p>
    <w:p>
      <w:pPr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Hindamislehed</w:t>
      </w:r>
    </w:p>
    <w:p>
      <w:pPr>
        <w:widowControl w:val="false"/>
        <w:numPr>
          <w:ilvl w:val="0"/>
          <w:numId w:val="42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Jõudluskatsete protokollid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ARETUSLOOMA JÕUDLUSANDMETE JA NENDE HINDAMIS-TULEMUSTE AVALDAMISE KORD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Seadusandlik alus on jõudluskontrolli läbiviimise korra üldosas.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Jõudluskontrolli protokollid ja hindamistulemused avaldatakse igaaastaselt Eesti Hobusekasvatajate Seltsi aastaraamatus, kodulehel ja kannetena elektroonilises tõuraamatus.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Eesti Hobusekasvatajate Seltsi kodulehel avaldatakse jõudluskatsete protokollid 14 päeva jooksul alates toimunud sündmusest.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Elektroonilisse tõuraamatusse kantakse jõudluskatsete tulemused 14 päeva jooksul alates toimunud sündmusest.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Kõigi jõudluskatsete tulemused kantakse omaniku soovil hobuse passi.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JÕUDLUSANDMETE KOGUMISE KOOLITUSPROGRAMMID NING JÕUDLUSANDMETE KOGUJA TUNNISTUSE SAAMISE NÕUDED JA TUNNISTUSE VÄLJASTAMISE KORD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Seadusandlik alus on jõudluskontrolli läbiviimise üldosas.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Praktiline koolitus toimub koostöös teiste shetlandi poni liikmestõuraamatute pädevate esindajatega ning tõu- ja hindamiskomisjoniga.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Jõudlusandmete kogumise koolituse viib läbi ja jõudlusandmete koguja tunnistuse väljastab Eesti Hobusekasvatajate Selts.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ANDMED LABORATOORIUMI KOHTA, KUS TEHAKSE JÕUDLUSE MÄÄRAMISEKS VAJALIKKE ANALÜÜSE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Käesoleval ajal ei teostata Eestis shetlandi ponide jõudluse määramiseks vajalikke analüüse laboratooriumis.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5">
    <w:abstractNumId w:val="84"/>
  </w:num>
  <w:num w:numId="7">
    <w:abstractNumId w:val="78"/>
  </w:num>
  <w:num w:numId="9">
    <w:abstractNumId w:val="72"/>
  </w:num>
  <w:num w:numId="12">
    <w:abstractNumId w:val="66"/>
  </w:num>
  <w:num w:numId="14">
    <w:abstractNumId w:val="60"/>
  </w:num>
  <w:num w:numId="16">
    <w:abstractNumId w:val="54"/>
  </w:num>
  <w:num w:numId="18">
    <w:abstractNumId w:val="48"/>
  </w:num>
  <w:num w:numId="20">
    <w:abstractNumId w:val="42"/>
  </w:num>
  <w:num w:numId="22">
    <w:abstractNumId w:val="36"/>
  </w:num>
  <w:num w:numId="27">
    <w:abstractNumId w:val="30"/>
  </w:num>
  <w:num w:numId="31">
    <w:abstractNumId w:val="24"/>
  </w:num>
  <w:num w:numId="33">
    <w:abstractNumId w:val="18"/>
  </w:num>
  <w:num w:numId="36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hs@ehs.ee" Id="docRId0" Type="http://schemas.openxmlformats.org/officeDocument/2006/relationships/hyperlink"/><Relationship TargetMode="External" Target="mailto:ehs@ehs.ee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